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87009">
      <w:pPr>
        <w:spacing w:line="420" w:lineRule="atLeast"/>
        <w:ind w:left="3950" w:leftChars="-100" w:right="-210" w:rightChars="-100" w:hanging="4160" w:hangingChars="1300"/>
        <w:jc w:val="left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附表7</w:t>
      </w:r>
      <w:r>
        <w:rPr>
          <w:rFonts w:hint="eastAsia" w:ascii="黑体" w:eastAsia="黑体"/>
          <w:sz w:val="30"/>
          <w:szCs w:val="30"/>
        </w:rPr>
        <w:t>吉林省地方计量检定规程和计量校准规范项目评审意见表</w:t>
      </w:r>
    </w:p>
    <w:tbl>
      <w:tblPr>
        <w:tblStyle w:val="4"/>
        <w:tblW w:w="9781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596"/>
        <w:gridCol w:w="3799"/>
        <w:gridCol w:w="1275"/>
        <w:gridCol w:w="1021"/>
        <w:gridCol w:w="397"/>
        <w:gridCol w:w="1559"/>
      </w:tblGrid>
      <w:tr w14:paraId="05F2D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17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ED6E6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3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C4E50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全自动红外分光测油仪</w:t>
            </w:r>
          </w:p>
          <w:p w14:paraId="3B56EFED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校准规范</w:t>
            </w:r>
          </w:p>
        </w:tc>
        <w:tc>
          <w:tcPr>
            <w:tcW w:w="22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F1DAF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专业领域</w:t>
            </w:r>
          </w:p>
        </w:tc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27A19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化学</w:t>
            </w:r>
          </w:p>
        </w:tc>
      </w:tr>
      <w:tr w14:paraId="517CA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17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82C2D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评审组长</w:t>
            </w:r>
          </w:p>
        </w:tc>
        <w:tc>
          <w:tcPr>
            <w:tcW w:w="3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239CCF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丁海铭</w:t>
            </w:r>
          </w:p>
        </w:tc>
        <w:tc>
          <w:tcPr>
            <w:tcW w:w="22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3583D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CE7FD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13936299912</w:t>
            </w:r>
          </w:p>
        </w:tc>
      </w:tr>
      <w:tr w14:paraId="5FDEB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17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05952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地址及邮编</w:t>
            </w:r>
          </w:p>
        </w:tc>
        <w:tc>
          <w:tcPr>
            <w:tcW w:w="3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F73AE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—</w:t>
            </w:r>
          </w:p>
        </w:tc>
        <w:tc>
          <w:tcPr>
            <w:tcW w:w="22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5D2B2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bookmarkStart w:id="0" w:name="OLE_LINK13"/>
            <w:bookmarkStart w:id="1" w:name="OLE_LINK14"/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E-MAIL</w:t>
            </w:r>
            <w:bookmarkEnd w:id="0"/>
            <w:bookmarkEnd w:id="1"/>
          </w:p>
        </w:tc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0D381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—</w:t>
            </w:r>
          </w:p>
        </w:tc>
      </w:tr>
      <w:tr w14:paraId="0E333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70AC8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性质</w:t>
            </w:r>
          </w:p>
        </w:tc>
        <w:tc>
          <w:tcPr>
            <w:tcW w:w="3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59E3B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b/>
                <w:kern w:val="0"/>
                <w:sz w:val="28"/>
                <w:szCs w:val="28"/>
              </w:rPr>
              <w:fldChar w:fldCharType="begin"/>
            </w:r>
            <w:r>
              <w:rPr>
                <w:rFonts w:ascii="仿宋_GB2312" w:eastAsia="仿宋_GB2312"/>
                <w:b/>
                <w:kern w:val="0"/>
                <w:sz w:val="28"/>
                <w:szCs w:val="28"/>
              </w:rPr>
              <w:instrText xml:space="preserve"> </w:instrText>
            </w: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instrText xml:space="preserve">eq \o\ac(□,√)</w:instrText>
            </w:r>
            <w:r>
              <w:rPr>
                <w:rFonts w:ascii="仿宋_GB2312" w:eastAsia="仿宋_GB2312"/>
                <w:b/>
                <w:kern w:val="0"/>
                <w:sz w:val="28"/>
                <w:szCs w:val="28"/>
              </w:rPr>
              <w:fldChar w:fldCharType="end"/>
            </w: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制定           □修订</w:t>
            </w:r>
          </w:p>
        </w:tc>
        <w:tc>
          <w:tcPr>
            <w:tcW w:w="22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4415C7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修订规程规范号</w:t>
            </w:r>
          </w:p>
        </w:tc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42CAF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</w:tr>
      <w:tr w14:paraId="1B5A1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7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C1BFC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类别</w:t>
            </w:r>
          </w:p>
        </w:tc>
        <w:tc>
          <w:tcPr>
            <w:tcW w:w="805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A8556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 xml:space="preserve">□检定规程       </w:t>
            </w:r>
            <w:r>
              <w:rPr>
                <w:rFonts w:ascii="仿宋_GB2312" w:eastAsia="仿宋_GB2312"/>
                <w:b/>
                <w:kern w:val="0"/>
                <w:sz w:val="28"/>
                <w:szCs w:val="28"/>
              </w:rPr>
              <w:fldChar w:fldCharType="begin"/>
            </w:r>
            <w:r>
              <w:rPr>
                <w:rFonts w:ascii="仿宋_GB2312" w:eastAsia="仿宋_GB2312"/>
                <w:b/>
                <w:kern w:val="0"/>
                <w:sz w:val="28"/>
                <w:szCs w:val="28"/>
              </w:rPr>
              <w:instrText xml:space="preserve"> </w:instrText>
            </w: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instrText xml:space="preserve">eq \o\ac(□,√)</w:instrText>
            </w:r>
            <w:r>
              <w:rPr>
                <w:rFonts w:ascii="仿宋_GB2312" w:eastAsia="仿宋_GB2312"/>
                <w:b/>
                <w:kern w:val="0"/>
                <w:sz w:val="28"/>
                <w:szCs w:val="28"/>
              </w:rPr>
              <w:fldChar w:fldCharType="end"/>
            </w: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校准规范</w:t>
            </w:r>
          </w:p>
        </w:tc>
      </w:tr>
      <w:tr w14:paraId="2BB9B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78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D7B45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评审意见汇总：</w:t>
            </w:r>
          </w:p>
          <w:p w14:paraId="26E4BA5F">
            <w:pPr>
              <w:snapToGrid w:val="0"/>
              <w:ind w:firstLine="480" w:firstLineChars="20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2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02</w:t>
            </w: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5年10月09日，由吉林省市场监督管理厅组织专家组通过网络评审方式对《全自动红外分光测油仪校准规范》（送审稿）进行评审。</w:t>
            </w:r>
            <w:bookmarkStart w:id="2" w:name="OLE_LINK6"/>
            <w:bookmarkStart w:id="3" w:name="OLE_LINK5"/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在审定过程中，与会专家以严谨的科学态度和求实负责的工作精神，对该规范的具体内容，计量特性，校准方法，试验验证及不确定度分析进行了深入的讨论，最终形成了如下审定意见。</w:t>
            </w:r>
          </w:p>
          <w:p w14:paraId="732235E3">
            <w:pPr>
              <w:snapToGrid w:val="0"/>
              <w:ind w:firstLine="480" w:firstLineChars="20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起草单位提供的技术资料齐全，内容完整。“规范”的编写格式符合JJF1071－2010《国家计量校准规范编写规则》的要求，条文结构清晰。</w:t>
            </w: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“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规范</w:t>
            </w: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”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中提出的计量性能要求合理，校准方法科学严谨、正确可行。</w:t>
            </w: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“规范”实验验证认真充分，数据可靠。审定会对规范的提出的修改意见如下：</w:t>
            </w:r>
          </w:p>
          <w:bookmarkEnd w:id="2"/>
          <w:bookmarkEnd w:id="3"/>
          <w:p w14:paraId="5F6929AE">
            <w:pPr>
              <w:snapToGrid w:val="0"/>
              <w:ind w:firstLine="480" w:firstLineChars="200"/>
              <w:rPr>
                <w:rFonts w:ascii="仿宋_GB2312" w:hAnsi="等线" w:eastAsia="仿宋_GB2312" w:cs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Times New Roman"/>
                <w:bCs/>
                <w:kern w:val="0"/>
                <w:sz w:val="24"/>
                <w:szCs w:val="24"/>
              </w:rPr>
              <w:t>1）引言中相关文件的横杠修改为长横“—”</w:t>
            </w:r>
            <w:r>
              <w:rPr>
                <w:rFonts w:hint="eastAsia" w:ascii="仿宋_GB2312" w:hAnsi="等线" w:eastAsia="仿宋_GB2312" w:cs="Times New Roman"/>
                <w:bCs/>
                <w:color w:val="000000"/>
                <w:kern w:val="0"/>
                <w:sz w:val="24"/>
                <w:szCs w:val="24"/>
              </w:rPr>
              <w:t>；</w:t>
            </w:r>
          </w:p>
          <w:p w14:paraId="6070EE39">
            <w:pPr>
              <w:snapToGrid w:val="0"/>
              <w:ind w:firstLine="480" w:firstLineChars="200"/>
              <w:rPr>
                <w:rFonts w:ascii="仿宋_GB2312" w:hAnsi="等线" w:eastAsia="仿宋_GB2312" w:cs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Times New Roman"/>
                <w:bCs/>
                <w:color w:val="000000"/>
                <w:kern w:val="0"/>
                <w:sz w:val="24"/>
                <w:szCs w:val="24"/>
              </w:rPr>
              <w:t>2）将全文中的术语前后统一；</w:t>
            </w:r>
          </w:p>
          <w:p w14:paraId="676FDDC4">
            <w:pPr>
              <w:snapToGrid w:val="0"/>
              <w:ind w:firstLine="480" w:firstLineChars="200"/>
              <w:rPr>
                <w:rFonts w:ascii="仿宋_GB2312" w:hAnsi="等线" w:eastAsia="仿宋_GB2312" w:cs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Times New Roman"/>
                <w:bCs/>
                <w:color w:val="000000"/>
                <w:kern w:val="0"/>
                <w:sz w:val="24"/>
                <w:szCs w:val="24"/>
              </w:rPr>
              <w:t>3）公式编号格式按J</w:t>
            </w:r>
            <w:r>
              <w:rPr>
                <w:rFonts w:ascii="仿宋_GB2312" w:hAnsi="等线" w:eastAsia="仿宋_GB2312" w:cs="Times New Roman"/>
                <w:bCs/>
                <w:color w:val="000000"/>
                <w:kern w:val="0"/>
                <w:sz w:val="24"/>
                <w:szCs w:val="24"/>
              </w:rPr>
              <w:t>JF1071</w:t>
            </w:r>
            <w:r>
              <w:rPr>
                <w:rFonts w:hint="eastAsia" w:ascii="仿宋_GB2312" w:hAnsi="等线" w:eastAsia="仿宋_GB2312" w:cs="Times New Roman"/>
                <w:bCs/>
                <w:color w:val="000000"/>
                <w:kern w:val="0"/>
                <w:sz w:val="24"/>
                <w:szCs w:val="24"/>
              </w:rPr>
              <w:t>进行修改；</w:t>
            </w:r>
          </w:p>
          <w:p w14:paraId="499B98F8">
            <w:pPr>
              <w:snapToGrid w:val="0"/>
              <w:ind w:firstLine="480" w:firstLineChars="200"/>
              <w:rPr>
                <w:rFonts w:ascii="仿宋_GB2312" w:hAnsi="等线" w:eastAsia="仿宋_GB2312" w:cs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Times New Roman"/>
                <w:bCs/>
                <w:color w:val="000000"/>
                <w:kern w:val="0"/>
                <w:sz w:val="24"/>
                <w:szCs w:val="24"/>
              </w:rPr>
              <w:t>4）修改7</w:t>
            </w:r>
            <w:r>
              <w:rPr>
                <w:rFonts w:ascii="仿宋_GB2312" w:hAnsi="等线" w:eastAsia="仿宋_GB2312" w:cs="Times New Roman"/>
                <w:bCs/>
                <w:color w:val="000000"/>
                <w:kern w:val="0"/>
                <w:sz w:val="24"/>
                <w:szCs w:val="24"/>
              </w:rPr>
              <w:t>.6</w:t>
            </w:r>
            <w:r>
              <w:rPr>
                <w:rFonts w:hint="eastAsia" w:ascii="仿宋_GB2312" w:hAnsi="等线" w:eastAsia="仿宋_GB2312" w:cs="Times New Roman"/>
                <w:bCs/>
                <w:color w:val="000000"/>
                <w:kern w:val="0"/>
                <w:sz w:val="24"/>
                <w:szCs w:val="24"/>
              </w:rPr>
              <w:t>、7</w:t>
            </w:r>
            <w:r>
              <w:rPr>
                <w:rFonts w:ascii="仿宋_GB2312" w:hAnsi="等线" w:eastAsia="仿宋_GB2312" w:cs="Times New Roman"/>
                <w:bCs/>
                <w:color w:val="000000"/>
                <w:kern w:val="0"/>
                <w:sz w:val="24"/>
                <w:szCs w:val="24"/>
              </w:rPr>
              <w:t>.7</w:t>
            </w:r>
            <w:r>
              <w:rPr>
                <w:rFonts w:hint="eastAsia" w:ascii="仿宋_GB2312" w:hAnsi="等线" w:eastAsia="仿宋_GB2312" w:cs="Times New Roman"/>
                <w:bCs/>
                <w:color w:val="000000"/>
                <w:kern w:val="0"/>
                <w:sz w:val="24"/>
                <w:szCs w:val="24"/>
              </w:rPr>
              <w:t>中浓度C的下标，避免同一符号代表不同的参数；</w:t>
            </w:r>
          </w:p>
          <w:p w14:paraId="71484A17">
            <w:pPr>
              <w:snapToGrid w:val="0"/>
              <w:ind w:firstLine="480" w:firstLineChars="200"/>
              <w:rPr>
                <w:rFonts w:ascii="仿宋_GB2312" w:hAnsi="等线" w:eastAsia="仿宋_GB2312" w:cs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Times New Roman"/>
                <w:bCs/>
                <w:color w:val="000000"/>
                <w:kern w:val="0"/>
                <w:sz w:val="24"/>
                <w:szCs w:val="24"/>
              </w:rPr>
              <w:t>5）附录C不确定度评定中编码前加上C；</w:t>
            </w:r>
          </w:p>
          <w:p w14:paraId="7D4F590D">
            <w:pPr>
              <w:snapToGrid w:val="0"/>
              <w:ind w:firstLine="480" w:firstLineChars="200"/>
              <w:rPr>
                <w:rFonts w:ascii="仿宋_GB2312" w:hAnsi="等线" w:eastAsia="仿宋_GB2312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Times New Roman"/>
                <w:bCs/>
                <w:color w:val="000000"/>
                <w:kern w:val="0"/>
                <w:sz w:val="24"/>
                <w:szCs w:val="24"/>
              </w:rPr>
              <w:t>6）将不确定度评定数据加到每一步骤中，按分量合成后，再合成总不确定度。</w:t>
            </w:r>
          </w:p>
          <w:p w14:paraId="51D32184">
            <w:pPr>
              <w:snapToGrid w:val="0"/>
              <w:ind w:firstLine="480" w:firstLineChars="20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会议专家一致同意表决结果，通过了对《全自动红外分光测油仪校准规范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》</w:t>
            </w: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的审定。</w:t>
            </w:r>
          </w:p>
        </w:tc>
      </w:tr>
      <w:tr w14:paraId="03597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78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B654A">
            <w:pPr>
              <w:snapToGrid w:val="0"/>
              <w:ind w:firstLine="4076" w:firstLineChars="145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专家表决意见</w:t>
            </w:r>
          </w:p>
        </w:tc>
      </w:tr>
      <w:tr w14:paraId="71EF3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1ECD0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4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439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6A467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26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DF025">
            <w:pPr>
              <w:snapToGrid w:val="0"/>
              <w:ind w:firstLine="422" w:firstLineChars="15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表决意见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25E10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签名</w:t>
            </w:r>
          </w:p>
        </w:tc>
      </w:tr>
      <w:tr w14:paraId="045E3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310FE">
            <w:pPr>
              <w:widowControl/>
              <w:jc w:val="left"/>
              <w:rPr>
                <w:rFonts w:ascii="仿宋_GB2312" w:eastAsia="仿宋_GB2312"/>
                <w:b/>
                <w:kern w:val="0"/>
                <w:sz w:val="24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F8090">
            <w:pPr>
              <w:widowControl/>
              <w:jc w:val="left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41F89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赞成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A81B1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反对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E429B">
            <w:pPr>
              <w:widowControl/>
              <w:jc w:val="left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</w:tr>
      <w:tr w14:paraId="2217D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6543C">
            <w:pPr>
              <w:snapToGrid w:val="0"/>
              <w:rPr>
                <w:rFonts w:ascii="仿宋_GB2312" w:eastAsia="仿宋_GB2312"/>
                <w:b/>
                <w:kern w:val="0"/>
                <w:sz w:val="24"/>
              </w:rPr>
            </w:pPr>
            <w:bookmarkStart w:id="4" w:name="_Hlk211240993"/>
            <w:r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  <w:t>丁海铭</w:t>
            </w:r>
          </w:p>
        </w:tc>
        <w:tc>
          <w:tcPr>
            <w:tcW w:w="4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A4BF9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  <w:t>黑龙江省计量检定测试研究院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188EB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Arial" w:hAnsi="Arial" w:eastAsia="仿宋_GB2312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E63B4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3E367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93980</wp:posOffset>
                  </wp:positionH>
                  <wp:positionV relativeFrom="paragraph">
                    <wp:posOffset>-17145</wp:posOffset>
                  </wp:positionV>
                  <wp:extent cx="743585" cy="259080"/>
                  <wp:effectExtent l="0" t="0" r="18415" b="7620"/>
                  <wp:wrapNone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3585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39B46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A97EE">
            <w:pPr>
              <w:snapToGrid w:val="0"/>
              <w:rPr>
                <w:rFonts w:ascii="仿宋_GB2312" w:eastAsia="仿宋_GB2312"/>
                <w:b/>
                <w:kern w:val="0"/>
                <w:sz w:val="24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  <w:t>汪洪军</w:t>
            </w:r>
          </w:p>
        </w:tc>
        <w:tc>
          <w:tcPr>
            <w:tcW w:w="4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37553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  <w:t>中国计量科学研究院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8F8A0">
            <w:pPr>
              <w:snapToGrid w:val="0"/>
              <w:jc w:val="center"/>
              <w:rPr>
                <w:rFonts w:ascii="Arial" w:hAnsi="Arial" w:eastAsia="仿宋_GB2312" w:cs="Arial"/>
                <w:b/>
                <w:kern w:val="0"/>
                <w:sz w:val="28"/>
                <w:szCs w:val="28"/>
              </w:rPr>
            </w:pPr>
            <w:r>
              <w:rPr>
                <w:rFonts w:ascii="Arial" w:hAnsi="Arial" w:eastAsia="仿宋_GB2312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6D530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FD5BB7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/>
                <w:lang w:val="en-US" w:eastAsia="zh-CN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36830</wp:posOffset>
                  </wp:positionH>
                  <wp:positionV relativeFrom="paragraph">
                    <wp:posOffset>4445</wp:posOffset>
                  </wp:positionV>
                  <wp:extent cx="807085" cy="249555"/>
                  <wp:effectExtent l="0" t="0" r="12065" b="17145"/>
                  <wp:wrapNone/>
                  <wp:docPr id="4" name="图片 4" descr="微信图片_202510141423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微信图片_2025101414235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7085" cy="249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2596E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35B6E">
            <w:pPr>
              <w:snapToGrid w:val="0"/>
              <w:rPr>
                <w:rFonts w:ascii="仿宋_GB2312" w:eastAsia="仿宋_GB2312"/>
                <w:b/>
                <w:kern w:val="0"/>
                <w:sz w:val="24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  <w:t>任  歌</w:t>
            </w:r>
          </w:p>
        </w:tc>
        <w:tc>
          <w:tcPr>
            <w:tcW w:w="4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E77129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  <w:t>中国计量科学研究院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D28CF">
            <w:pPr>
              <w:snapToGrid w:val="0"/>
              <w:jc w:val="center"/>
              <w:rPr>
                <w:rFonts w:ascii="Arial" w:hAnsi="Arial" w:eastAsia="仿宋_GB2312" w:cs="Arial"/>
                <w:b/>
                <w:kern w:val="0"/>
                <w:sz w:val="28"/>
                <w:szCs w:val="28"/>
              </w:rPr>
            </w:pPr>
            <w:r>
              <w:rPr>
                <w:rFonts w:ascii="Arial" w:hAnsi="Arial" w:eastAsia="仿宋_GB2312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34ACA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90D0F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Theme="minorEastAsia"/>
                <w:lang w:eastAsia="zh-CN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48895</wp:posOffset>
                  </wp:positionH>
                  <wp:positionV relativeFrom="paragraph">
                    <wp:posOffset>38100</wp:posOffset>
                  </wp:positionV>
                  <wp:extent cx="770255" cy="196215"/>
                  <wp:effectExtent l="0" t="0" r="10795" b="13335"/>
                  <wp:wrapNone/>
                  <wp:docPr id="8" name="图片 8" descr="微信图片_201301010036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微信图片_2013010100364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0255" cy="196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黑体" w:hAnsi="宋体" w:eastAsia="黑体"/>
                <w:sz w:val="24"/>
              </w:rPr>
              <w:drawing>
                <wp:anchor distT="0" distB="0" distL="0" distR="0" simplePos="0" relativeHeight="251662336" behindDoc="0" locked="0" layoutInCell="1" allowOverlap="1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258445</wp:posOffset>
                  </wp:positionV>
                  <wp:extent cx="690245" cy="254635"/>
                  <wp:effectExtent l="0" t="0" r="0" b="12065"/>
                  <wp:wrapNone/>
                  <wp:docPr id="1" name="图片 1" descr="郭小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郭小岩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0245" cy="254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399B0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BDF77">
            <w:pPr>
              <w:snapToGrid w:val="0"/>
              <w:rPr>
                <w:rFonts w:ascii="仿宋_GB2312" w:eastAsia="仿宋_GB2312"/>
                <w:b/>
                <w:kern w:val="0"/>
                <w:sz w:val="24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  <w:t>郭小岩</w:t>
            </w:r>
          </w:p>
        </w:tc>
        <w:tc>
          <w:tcPr>
            <w:tcW w:w="4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88AE1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  <w:t>辽宁省计量科学研究院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4D1DA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Arial" w:hAnsi="Arial" w:eastAsia="仿宋_GB2312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35231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4EBE8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</w:tr>
      <w:tr w14:paraId="0CC70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1CFE7">
            <w:pPr>
              <w:snapToGrid w:val="0"/>
              <w:rPr>
                <w:rFonts w:ascii="仿宋_GB2312" w:eastAsia="仿宋_GB2312"/>
                <w:b/>
                <w:kern w:val="0"/>
                <w:sz w:val="24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  <w:t>孙  威</w:t>
            </w:r>
          </w:p>
        </w:tc>
        <w:tc>
          <w:tcPr>
            <w:tcW w:w="4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177A8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  <w:t>辽宁省计量科学研究院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83E59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Arial" w:hAnsi="Arial" w:eastAsia="仿宋_GB2312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CBFC3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57719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宋体" w:hAnsi="宋体"/>
                <w:szCs w:val="21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-46355</wp:posOffset>
                  </wp:positionH>
                  <wp:positionV relativeFrom="paragraph">
                    <wp:posOffset>34925</wp:posOffset>
                  </wp:positionV>
                  <wp:extent cx="705485" cy="220345"/>
                  <wp:effectExtent l="0" t="0" r="0" b="8255"/>
                  <wp:wrapNone/>
                  <wp:docPr id="5" name="图片 5" descr="孙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孙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5485" cy="2203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291A0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B447D">
            <w:pPr>
              <w:snapToGrid w:val="0"/>
              <w:rPr>
                <w:rFonts w:ascii="仿宋_GB2312" w:eastAsia="仿宋_GB2312"/>
                <w:b/>
                <w:kern w:val="0"/>
                <w:sz w:val="24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  <w:t>刘  硕</w:t>
            </w:r>
          </w:p>
        </w:tc>
        <w:tc>
          <w:tcPr>
            <w:tcW w:w="4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F4BB8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  <w:t>河北省计量监督检测研究院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68C9A8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Arial" w:hAnsi="Arial" w:eastAsia="仿宋_GB2312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CF698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CE069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drawing>
                <wp:anchor distT="0" distB="0" distL="0" distR="0" simplePos="0" relativeHeight="251664384" behindDoc="0" locked="0" layoutInCell="1" allowOverlap="1">
                  <wp:simplePos x="0" y="0"/>
                  <wp:positionH relativeFrom="column">
                    <wp:posOffset>158115</wp:posOffset>
                  </wp:positionH>
                  <wp:positionV relativeFrom="paragraph">
                    <wp:posOffset>14605</wp:posOffset>
                  </wp:positionV>
                  <wp:extent cx="421005" cy="227330"/>
                  <wp:effectExtent l="0" t="0" r="17145" b="1270"/>
                  <wp:wrapNone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005" cy="227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4A21B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8B571">
            <w:pPr>
              <w:snapToGrid w:val="0"/>
              <w:rPr>
                <w:rFonts w:ascii="仿宋_GB2312" w:eastAsia="仿宋_GB2312"/>
                <w:b/>
                <w:kern w:val="0"/>
                <w:sz w:val="24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  <w:t>柳添耀</w:t>
            </w:r>
          </w:p>
        </w:tc>
        <w:tc>
          <w:tcPr>
            <w:tcW w:w="4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5ABD6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  <w:t>辽源市计量检定测试所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DE6EB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Arial" w:hAnsi="Arial" w:eastAsia="仿宋_GB2312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0855D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8F8E9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/>
                <w:lang w:val="en-US" w:eastAsia="zh-CN"/>
              </w:rPr>
              <w:drawing>
                <wp:inline distT="0" distB="0" distL="114300" distR="114300">
                  <wp:extent cx="806450" cy="260985"/>
                  <wp:effectExtent l="0" t="0" r="12700" b="5715"/>
                  <wp:docPr id="3" name="图片 3" descr="柳签名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柳签名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6450" cy="260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4"/>
      <w:tr w14:paraId="20A07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78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C8DFA">
            <w:pPr>
              <w:snapToGrid w:val="0"/>
              <w:jc w:val="left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1428750</wp:posOffset>
                  </wp:positionH>
                  <wp:positionV relativeFrom="paragraph">
                    <wp:posOffset>393700</wp:posOffset>
                  </wp:positionV>
                  <wp:extent cx="944245" cy="353060"/>
                  <wp:effectExtent l="0" t="0" r="8255" b="8890"/>
                  <wp:wrapNone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4245" cy="353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评审结论：该项目经（7）名评审专家表决，（7）名专家赞成，（0）名专家反对，通过评审。</w:t>
            </w:r>
          </w:p>
          <w:p w14:paraId="3973823E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 xml:space="preserve">评审组长签字：                            </w:t>
            </w:r>
            <w:bookmarkStart w:id="5" w:name="_GoBack"/>
            <w:bookmarkEnd w:id="5"/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 xml:space="preserve">        年    月    日</w:t>
            </w:r>
          </w:p>
        </w:tc>
      </w:tr>
      <w:tr w14:paraId="3D9BA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</w:trPr>
        <w:tc>
          <w:tcPr>
            <w:tcW w:w="978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54735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组织评审单位意见：</w:t>
            </w:r>
          </w:p>
          <w:p w14:paraId="27645E82">
            <w:pPr>
              <w:snapToGrid w:val="0"/>
              <w:spacing w:line="240" w:lineRule="atLeast"/>
              <w:rPr>
                <w:rFonts w:ascii="仿宋_GB2312" w:eastAsia="仿宋_GB2312"/>
                <w:b/>
                <w:kern w:val="0"/>
                <w:sz w:val="13"/>
                <w:szCs w:val="13"/>
              </w:rPr>
            </w:pPr>
          </w:p>
          <w:p w14:paraId="508A626A">
            <w:pPr>
              <w:snapToGrid w:val="0"/>
              <w:ind w:firstLine="7449" w:firstLineChars="265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（公章）</w:t>
            </w:r>
          </w:p>
          <w:p w14:paraId="67EE5765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负责人：                                          年    月    日</w:t>
            </w:r>
          </w:p>
        </w:tc>
      </w:tr>
    </w:tbl>
    <w:p w14:paraId="0DCF9BD0"/>
    <w:sectPr>
      <w:pgSz w:w="11906" w:h="16838"/>
      <w:pgMar w:top="851" w:right="1797" w:bottom="85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13E"/>
    <w:rsid w:val="0008213E"/>
    <w:rsid w:val="000D4333"/>
    <w:rsid w:val="00111891"/>
    <w:rsid w:val="001510C1"/>
    <w:rsid w:val="00225990"/>
    <w:rsid w:val="002461A6"/>
    <w:rsid w:val="00294484"/>
    <w:rsid w:val="002B0466"/>
    <w:rsid w:val="002E0F4D"/>
    <w:rsid w:val="002F1E25"/>
    <w:rsid w:val="00363948"/>
    <w:rsid w:val="003A5B67"/>
    <w:rsid w:val="003E1E03"/>
    <w:rsid w:val="004943E7"/>
    <w:rsid w:val="004E3922"/>
    <w:rsid w:val="00587C91"/>
    <w:rsid w:val="005F6218"/>
    <w:rsid w:val="00632CC5"/>
    <w:rsid w:val="006C46D9"/>
    <w:rsid w:val="006F701E"/>
    <w:rsid w:val="0078142D"/>
    <w:rsid w:val="007F01C6"/>
    <w:rsid w:val="008E21DC"/>
    <w:rsid w:val="0092078E"/>
    <w:rsid w:val="00922298"/>
    <w:rsid w:val="009946FE"/>
    <w:rsid w:val="009C611C"/>
    <w:rsid w:val="00A4777A"/>
    <w:rsid w:val="00A628D2"/>
    <w:rsid w:val="00AB6300"/>
    <w:rsid w:val="00AB799E"/>
    <w:rsid w:val="00AD574E"/>
    <w:rsid w:val="00AF6F1A"/>
    <w:rsid w:val="00B548EE"/>
    <w:rsid w:val="00B903BB"/>
    <w:rsid w:val="00BA6A8C"/>
    <w:rsid w:val="00BB40C7"/>
    <w:rsid w:val="00C32138"/>
    <w:rsid w:val="00C81030"/>
    <w:rsid w:val="00C94657"/>
    <w:rsid w:val="00D440FC"/>
    <w:rsid w:val="00D738C5"/>
    <w:rsid w:val="00D764F1"/>
    <w:rsid w:val="00D861DC"/>
    <w:rsid w:val="00D94A4A"/>
    <w:rsid w:val="00DD684B"/>
    <w:rsid w:val="00DE5743"/>
    <w:rsid w:val="00E008A9"/>
    <w:rsid w:val="00E63512"/>
    <w:rsid w:val="00E93E30"/>
    <w:rsid w:val="00EA2781"/>
    <w:rsid w:val="00F17DAF"/>
    <w:rsid w:val="00F8532C"/>
    <w:rsid w:val="00FE00D9"/>
    <w:rsid w:val="02980103"/>
    <w:rsid w:val="089A4646"/>
    <w:rsid w:val="0BFA53FB"/>
    <w:rsid w:val="0EAF071F"/>
    <w:rsid w:val="0ECC307F"/>
    <w:rsid w:val="19C43122"/>
    <w:rsid w:val="1C4C1CA3"/>
    <w:rsid w:val="1CD13F56"/>
    <w:rsid w:val="1F7B4CEB"/>
    <w:rsid w:val="21983295"/>
    <w:rsid w:val="21AE3E3A"/>
    <w:rsid w:val="2C5D1363"/>
    <w:rsid w:val="36C37707"/>
    <w:rsid w:val="40185875"/>
    <w:rsid w:val="405D772B"/>
    <w:rsid w:val="41FB71FC"/>
    <w:rsid w:val="4B814C16"/>
    <w:rsid w:val="4E330189"/>
    <w:rsid w:val="4F2F6737"/>
    <w:rsid w:val="50A05B3E"/>
    <w:rsid w:val="607B17DC"/>
    <w:rsid w:val="69E92CDD"/>
    <w:rsid w:val="6AFE0DF7"/>
    <w:rsid w:val="6E7853E5"/>
    <w:rsid w:val="6F1928EC"/>
    <w:rsid w:val="6FE2529C"/>
    <w:rsid w:val="6FE253D4"/>
    <w:rsid w:val="7130216F"/>
    <w:rsid w:val="7BE95D3C"/>
    <w:rsid w:val="7E492AC2"/>
    <w:rsid w:val="7FD84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3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relations xmlns="http://www.yonyou.com/relation"/>
</file>

<file path=customXml/item3.xml><?xml version="1.0" encoding="utf-8"?>
<dataSourceCollection xmlns="http://www.yonyou.com/datasource"/>
</file>

<file path=customXml/itemProps1.xml><?xml version="1.0" encoding="utf-8"?>
<ds:datastoreItem xmlns:ds="http://schemas.openxmlformats.org/officeDocument/2006/customXml" ds:itemID="{7E0D0140-075B-4C32-99CA-8FB895A9C298}">
  <ds:schemaRefs/>
</ds:datastoreItem>
</file>

<file path=customXml/itemProps2.xml><?xml version="1.0" encoding="utf-8"?>
<ds:datastoreItem xmlns:ds="http://schemas.openxmlformats.org/officeDocument/2006/customXml" ds:itemID="{9D329ED7-2E25-4E35-AA0B-97C89D43C990}">
  <ds:schemaRefs/>
</ds:datastoreItem>
</file>

<file path=customXml/itemProps3.xml><?xml version="1.0" encoding="utf-8"?>
<ds:datastoreItem xmlns:ds="http://schemas.openxmlformats.org/officeDocument/2006/customXml" ds:itemID="{9733D186-C4DB-4907-AEAC-91B38432D61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742</Words>
  <Characters>781</Characters>
  <Lines>7</Lines>
  <Paragraphs>2</Paragraphs>
  <TotalTime>0</TotalTime>
  <ScaleCrop>false</ScaleCrop>
  <LinksUpToDate>false</LinksUpToDate>
  <CharactersWithSpaces>911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2023-09-19T06:43:00Z</dcterms:created>
  <dc:creator>钱俊如</dc:creator>
  <cp:lastModifiedBy>Administrator</cp:lastModifiedBy>
  <dcterms:modified xsi:type="dcterms:W3CDTF">2025-10-14T08:16:16Z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eyJoZGlkIjoiMzZmNzUyODQxYzgxZWE2Mjg5MDQwYzEzN2Q5MWRmNTgifQ==</vt:lpwstr>
  </property>
  <property fmtid="{D5CDD505-2E9C-101B-9397-08002B2CF9AE}" pid="3" name="KSOProductBuildVer">
    <vt:lpwstr>2052-12.1.0.23125</vt:lpwstr>
  </property>
  <property fmtid="{D5CDD505-2E9C-101B-9397-08002B2CF9AE}" pid="4" name="ICV">
    <vt:lpwstr>A437D25103E743E0BDB6219AA132E440_12</vt:lpwstr>
  </property>
</Properties>
</file>